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sz w:val="22"/>
          <w:szCs w:val="22"/>
          <w:rtl w:val="0"/>
        </w:rPr>
        <w:tab/>
        <w:tab/>
        <w:tab/>
        <w:tab/>
        <w:tab/>
        <w:tab/>
      </w:r>
      <w:r w:rsidDel="00000000" w:rsidR="00000000" w:rsidRPr="00000000">
        <w:rPr>
          <w:rtl w:val="0"/>
        </w:rPr>
      </w:r>
    </w:p>
    <w:p w:rsidR="00000000" w:rsidDel="00000000" w:rsidP="00000000" w:rsidRDefault="00000000" w:rsidRPr="00000000" w14:paraId="00000002">
      <w:pPr>
        <w:ind w:left="5040" w:firstLine="720"/>
        <w:jc w:val="right"/>
        <w:rPr>
          <w:rFonts w:ascii="Calibri" w:cs="Calibri" w:eastAsia="Calibri" w:hAnsi="Calibri"/>
        </w:rPr>
      </w:pPr>
      <w:r w:rsidDel="00000000" w:rsidR="00000000" w:rsidRPr="00000000">
        <w:rPr>
          <w:rFonts w:ascii="Calibri" w:cs="Calibri" w:eastAsia="Calibri" w:hAnsi="Calibri"/>
          <w:rtl w:val="0"/>
        </w:rPr>
        <w:t xml:space="preserve"> ФІНАЛЬНИЙ ПРОЄКТ - 2 липня, 2022</w:t>
      </w:r>
    </w:p>
    <w:p w:rsidR="00000000" w:rsidDel="00000000" w:rsidP="00000000" w:rsidRDefault="00000000" w:rsidRPr="00000000" w14:paraId="00000003">
      <w:pPr>
        <w:ind w:left="5040" w:firstLine="720"/>
        <w:jc w:val="right"/>
        <w:rPr>
          <w:rFonts w:ascii="Calibri" w:cs="Calibri" w:eastAsia="Calibri" w:hAnsi="Calibri"/>
        </w:rPr>
      </w:pPr>
      <w:r w:rsidDel="00000000" w:rsidR="00000000" w:rsidRPr="00000000">
        <w:rPr>
          <w:rFonts w:ascii="Calibri" w:cs="Calibri" w:eastAsia="Calibri" w:hAnsi="Calibri"/>
          <w:rtl w:val="0"/>
        </w:rPr>
        <w:tab/>
        <w:tab/>
        <w:tab/>
        <w:tab/>
        <w:t xml:space="preserve"> </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tab/>
      </w: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Підсумковий документ конференції з питань відновлення України URC2022</w:t>
      </w:r>
    </w:p>
    <w:p w:rsidR="00000000" w:rsidDel="00000000" w:rsidP="00000000" w:rsidRDefault="00000000" w:rsidRPr="00000000" w14:paraId="00000007">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(«Декларація Лугано»)</w:t>
      </w:r>
    </w:p>
    <w:p w:rsidR="00000000" w:rsidDel="00000000" w:rsidP="00000000" w:rsidRDefault="00000000" w:rsidRPr="00000000" w14:paraId="00000008">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Лугано, 4–5 липня 2022</w:t>
      </w:r>
    </w:p>
    <w:p w:rsidR="00000000" w:rsidDel="00000000" w:rsidP="00000000" w:rsidRDefault="00000000" w:rsidRPr="00000000" w14:paraId="0000000A">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Ми, глави держав і урядів, міністри та високі представники Албанії, Австралії, Австрії, Бельгії, Греції, Данії, Естонії, Ізраїлю, Ірландії, Ісландії, Іспанії, Італії, Канади, Кіпру, Латвії, Литви, Ліхтенштейну, Люксембургу, Мальти, Молодови, Нідерландів, Німеччини, Норвегії, Північної Македонії, Польщі, Португалії, Республіки Корея, Румунії, Словаччини, Словенії, Сполученого Королівства Великої Британії, Сполучних Штатів Америки, Туреччини, України, Угорщини, Фінляндії, Франції, Хорватії, Чехії, Швейцарії, Швеції, Японії,  а також найвищі посадові особи та високі представники Ради Європи, Європейського банку реконструкції та розвитку, Європейської комісії, Європейського інвестиційного банку, Організації економічного співробітництва та розвитку, </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беручи участь</w:t>
      </w:r>
      <w:r w:rsidDel="00000000" w:rsidR="00000000" w:rsidRPr="00000000">
        <w:rPr>
          <w:rFonts w:ascii="Calibri" w:cs="Calibri" w:eastAsia="Calibri" w:hAnsi="Calibri"/>
          <w:sz w:val="22"/>
          <w:szCs w:val="22"/>
          <w:rtl w:val="0"/>
        </w:rPr>
        <w:t xml:space="preserve"> у Міжнародній конференції з питань відновлення України (URC2022) у Лугано, Швейцарія, 4 та 5 липня 2022 р., спільно організованої урядом Швейцарії та України;</w:t>
      </w:r>
    </w:p>
    <w:p w:rsidR="00000000" w:rsidDel="00000000" w:rsidP="00000000" w:rsidRDefault="00000000" w:rsidRPr="00000000" w14:paraId="0000000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рішуче </w:t>
      </w:r>
      <w:r w:rsidDel="00000000" w:rsidR="00000000" w:rsidRPr="00000000">
        <w:rPr>
          <w:rFonts w:ascii="Calibri" w:cs="Calibri" w:eastAsia="Calibri" w:hAnsi="Calibri"/>
          <w:i w:val="1"/>
          <w:sz w:val="22"/>
          <w:szCs w:val="22"/>
          <w:rtl w:val="0"/>
        </w:rPr>
        <w:t xml:space="preserve">засуджуючи</w:t>
      </w:r>
      <w:r w:rsidDel="00000000" w:rsidR="00000000" w:rsidRPr="00000000">
        <w:rPr>
          <w:rFonts w:ascii="Calibri" w:cs="Calibri" w:eastAsia="Calibri" w:hAnsi="Calibri"/>
          <w:sz w:val="22"/>
          <w:szCs w:val="22"/>
          <w:rtl w:val="0"/>
        </w:rPr>
        <w:t xml:space="preserve"> військову агресію Російської Федерації проти України та закликаючи Російську Федерацію невідкладно вивести свої війська з території України;</w:t>
      </w:r>
    </w:p>
    <w:p w:rsidR="00000000" w:rsidDel="00000000" w:rsidP="00000000" w:rsidRDefault="00000000" w:rsidRPr="00000000" w14:paraId="0000001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підтверджуючи</w:t>
      </w:r>
      <w:r w:rsidDel="00000000" w:rsidR="00000000" w:rsidRPr="00000000">
        <w:rPr>
          <w:rFonts w:ascii="Calibri" w:cs="Calibri" w:eastAsia="Calibri" w:hAnsi="Calibri"/>
          <w:sz w:val="22"/>
          <w:szCs w:val="22"/>
          <w:rtl w:val="0"/>
        </w:rPr>
        <w:t xml:space="preserve"> повну підтримку суверенітету та територіальної цілісності України в межах міжнародно визнаних кордонів та з повагою до міжнародного права та міжнародного гуманітарного права;</w:t>
      </w:r>
    </w:p>
    <w:p w:rsidR="00000000" w:rsidDel="00000000" w:rsidP="00000000" w:rsidRDefault="00000000" w:rsidRPr="00000000" w14:paraId="00000013">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визнаючи,</w:t>
      </w:r>
      <w:r w:rsidDel="00000000" w:rsidR="00000000" w:rsidRPr="00000000">
        <w:rPr>
          <w:rFonts w:ascii="Calibri" w:cs="Calibri" w:eastAsia="Calibri" w:hAnsi="Calibri"/>
          <w:sz w:val="22"/>
          <w:szCs w:val="22"/>
          <w:rtl w:val="0"/>
        </w:rPr>
        <w:t xml:space="preserve"> що військова агресія Російської Федерації проти України, включаючи навмисне націлення на цивільне населення, призвела до значних людських втрат, катастрофічного руйнування інфраструктури, шкіл, лікарень, житла громадян та культурної спадщини, глибоких економічних і фінансових втрат для України, і дестабілізувала глобальні </w:t>
      </w:r>
      <w:r w:rsidDel="00000000" w:rsidR="00000000" w:rsidRPr="00000000">
        <w:rPr>
          <w:rFonts w:ascii="Calibri" w:cs="Calibri" w:eastAsia="Calibri" w:hAnsi="Calibri"/>
          <w:sz w:val="22"/>
          <w:szCs w:val="22"/>
          <w:rtl w:val="0"/>
        </w:rPr>
        <w:t xml:space="preserve">ланцюги доданої вартості</w:t>
      </w:r>
      <w:r w:rsidDel="00000000" w:rsidR="00000000" w:rsidRPr="00000000">
        <w:rPr>
          <w:rFonts w:ascii="Calibri" w:cs="Calibri" w:eastAsia="Calibri" w:hAnsi="Calibri"/>
          <w:sz w:val="22"/>
          <w:szCs w:val="22"/>
          <w:rtl w:val="0"/>
        </w:rPr>
        <w:t xml:space="preserve"> та поставила під загрозу світову продовольчу безпеку;</w:t>
      </w:r>
    </w:p>
    <w:p w:rsidR="00000000" w:rsidDel="00000000" w:rsidP="00000000" w:rsidRDefault="00000000" w:rsidRPr="00000000" w14:paraId="00000015">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беручи до уваги</w:t>
      </w:r>
      <w:r w:rsidDel="00000000" w:rsidR="00000000" w:rsidRPr="00000000">
        <w:rPr>
          <w:rFonts w:ascii="Calibri" w:cs="Calibri" w:eastAsia="Calibri" w:hAnsi="Calibri"/>
          <w:sz w:val="22"/>
          <w:szCs w:val="22"/>
          <w:rtl w:val="0"/>
        </w:rPr>
        <w:t xml:space="preserve"> рішення засідання Європейської Ради в Брюсселі 23-24 червня 2022 року про визнання європейської перспективи України та надання їй статусу країни-кандидата на вступ до ЄС;</w:t>
      </w:r>
    </w:p>
    <w:p w:rsidR="00000000" w:rsidDel="00000000" w:rsidP="00000000" w:rsidRDefault="00000000" w:rsidRPr="00000000" w14:paraId="00000017">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8">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вітаючи </w:t>
      </w:r>
      <w:r w:rsidDel="00000000" w:rsidR="00000000" w:rsidRPr="00000000">
        <w:rPr>
          <w:rFonts w:ascii="Calibri" w:cs="Calibri" w:eastAsia="Calibri" w:hAnsi="Calibri"/>
          <w:sz w:val="22"/>
          <w:szCs w:val="22"/>
          <w:rtl w:val="0"/>
        </w:rPr>
        <w:t xml:space="preserve">своєчасне проведення конференції, яка є  міжнародним початком процесу відновлення України;</w:t>
      </w:r>
    </w:p>
    <w:p w:rsidR="00000000" w:rsidDel="00000000" w:rsidP="00000000" w:rsidRDefault="00000000" w:rsidRPr="00000000" w14:paraId="00000019">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A">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згідно з цим політичним документом</w:t>
      </w:r>
      <w:r w:rsidDel="00000000" w:rsidR="00000000" w:rsidRPr="00000000">
        <w:rPr>
          <w:rFonts w:ascii="Calibri" w:cs="Calibri" w:eastAsia="Calibri" w:hAnsi="Calibri"/>
          <w:sz w:val="22"/>
          <w:szCs w:val="22"/>
          <w:rtl w:val="0"/>
        </w:rPr>
        <w:t xml:space="preserve">, що не має зобов’язуючої сили:</w:t>
      </w:r>
    </w:p>
    <w:p w:rsidR="00000000" w:rsidDel="00000000" w:rsidP="00000000" w:rsidRDefault="00000000" w:rsidRPr="00000000" w14:paraId="0000001B">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повністю зобов’язуємось </w:t>
      </w:r>
      <w:r w:rsidDel="00000000" w:rsidR="00000000" w:rsidRPr="00000000">
        <w:rPr>
          <w:rFonts w:ascii="Calibri" w:cs="Calibri" w:eastAsia="Calibri" w:hAnsi="Calibri"/>
          <w:sz w:val="22"/>
          <w:szCs w:val="22"/>
          <w:rtl w:val="0"/>
        </w:rPr>
        <w:t xml:space="preserve">підтримувати Україну на її шляху до відновлення від початку і до довгострокового відновлення та пов’язуємо це з європейською перспективою для України та її статусом країни-кандидата на вступ до ЄС,</w:t>
      </w:r>
    </w:p>
    <w:p w:rsidR="00000000" w:rsidDel="00000000" w:rsidP="00000000" w:rsidRDefault="00000000" w:rsidRPr="00000000" w14:paraId="0000001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заохочуємо</w:t>
      </w:r>
      <w:r w:rsidDel="00000000" w:rsidR="00000000" w:rsidRPr="00000000">
        <w:rPr>
          <w:rFonts w:ascii="Calibri" w:cs="Calibri" w:eastAsia="Calibri" w:hAnsi="Calibri"/>
          <w:sz w:val="22"/>
          <w:szCs w:val="22"/>
          <w:rtl w:val="0"/>
        </w:rPr>
        <w:t xml:space="preserve"> та вітаємо всі зобов’язання надавати скоординовану політичну, фінансову та технічну підтримку для цієї мети,</w:t>
      </w:r>
    </w:p>
    <w:p w:rsidR="00000000" w:rsidDel="00000000" w:rsidP="00000000" w:rsidRDefault="00000000" w:rsidRPr="00000000" w14:paraId="0000001F">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схвалюємо </w:t>
      </w:r>
      <w:r w:rsidDel="00000000" w:rsidR="00000000" w:rsidRPr="00000000">
        <w:rPr>
          <w:rFonts w:ascii="Calibri" w:cs="Calibri" w:eastAsia="Calibri" w:hAnsi="Calibri"/>
          <w:sz w:val="22"/>
          <w:szCs w:val="22"/>
          <w:rtl w:val="0"/>
        </w:rPr>
        <w:t xml:space="preserve">керівні принципи процесу відновлення, які додаються до цього документу («Принципи Лугано»),</w:t>
      </w:r>
    </w:p>
    <w:p w:rsidR="00000000" w:rsidDel="00000000" w:rsidP="00000000" w:rsidRDefault="00000000" w:rsidRPr="00000000" w14:paraId="00000021">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визнаємо </w:t>
      </w:r>
      <w:r w:rsidDel="00000000" w:rsidR="00000000" w:rsidRPr="00000000">
        <w:rPr>
          <w:rFonts w:ascii="Calibri" w:cs="Calibri" w:eastAsia="Calibri" w:hAnsi="Calibri"/>
          <w:sz w:val="22"/>
          <w:szCs w:val="22"/>
          <w:rtl w:val="0"/>
        </w:rPr>
        <w:t xml:space="preserve">ініційований Україною проект Плану відновлення та розвитку як основний рамковий документ, що задає напрямок процесу відновлення та забезпезує узгоджену участь багатьох зацікавлених сторін та партнерів, і з нетерпінням чекаємо участі в його </w:t>
      </w:r>
      <w:r w:rsidDel="00000000" w:rsidR="00000000" w:rsidRPr="00000000">
        <w:rPr>
          <w:rFonts w:ascii="Calibri" w:cs="Calibri" w:eastAsia="Calibri" w:hAnsi="Calibri"/>
          <w:sz w:val="22"/>
          <w:szCs w:val="22"/>
          <w:rtl w:val="0"/>
        </w:rPr>
        <w:t xml:space="preserve">доопрацюванні та </w:t>
      </w:r>
      <w:r w:rsidDel="00000000" w:rsidR="00000000" w:rsidRPr="00000000">
        <w:rPr>
          <w:rFonts w:ascii="Calibri" w:cs="Calibri" w:eastAsia="Calibri" w:hAnsi="Calibri"/>
          <w:sz w:val="22"/>
          <w:szCs w:val="22"/>
          <w:rtl w:val="0"/>
        </w:rPr>
        <w:t xml:space="preserve">реалізації,</w:t>
      </w:r>
    </w:p>
    <w:p w:rsidR="00000000" w:rsidDel="00000000" w:rsidP="00000000" w:rsidRDefault="00000000" w:rsidRPr="00000000" w14:paraId="00000023">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визнаємо</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що План відновлення та розвитку є живим документом, який потребує консультацій та адаптивності з часом, щоб відобразити зміни обставин,</w:t>
      </w:r>
    </w:p>
    <w:p w:rsidR="00000000" w:rsidDel="00000000" w:rsidP="00000000" w:rsidRDefault="00000000" w:rsidRPr="00000000" w14:paraId="00000025">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6">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підтримуємо</w:t>
      </w:r>
      <w:r w:rsidDel="00000000" w:rsidR="00000000" w:rsidRPr="00000000">
        <w:rPr>
          <w:rFonts w:ascii="Calibri" w:cs="Calibri" w:eastAsia="Calibri" w:hAnsi="Calibri"/>
          <w:sz w:val="22"/>
          <w:szCs w:val="22"/>
          <w:rtl w:val="0"/>
        </w:rPr>
        <w:t xml:space="preserve"> створення ефективної координаційної платформи між Урядом України та всіма двосторонніми та багатосторонніми партнерами, організаціями та міжнародними фінансовими </w:t>
      </w:r>
      <w:r w:rsidDel="00000000" w:rsidR="00000000" w:rsidRPr="00000000">
        <w:rPr>
          <w:rFonts w:ascii="Calibri" w:cs="Calibri" w:eastAsia="Calibri" w:hAnsi="Calibri"/>
          <w:sz w:val="22"/>
          <w:szCs w:val="22"/>
          <w:rtl w:val="0"/>
        </w:rPr>
        <w:t xml:space="preserve">організаціями</w:t>
      </w:r>
      <w:r w:rsidDel="00000000" w:rsidR="00000000" w:rsidRPr="00000000">
        <w:rPr>
          <w:rFonts w:ascii="Calibri" w:cs="Calibri" w:eastAsia="Calibri" w:hAnsi="Calibri"/>
          <w:sz w:val="22"/>
          <w:szCs w:val="22"/>
          <w:rtl w:val="0"/>
        </w:rPr>
        <w:t xml:space="preserve"> для підготовки та реалізації Плану відновлення та розвитку України, спираючись на існуючі структури та встановлюючи чіткий зв’язок з порядком денним реформ,</w:t>
      </w:r>
    </w:p>
    <w:p w:rsidR="00000000" w:rsidDel="00000000" w:rsidP="00000000" w:rsidRDefault="00000000" w:rsidRPr="00000000" w14:paraId="00000027">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8">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підтверджуємо</w:t>
      </w:r>
      <w:r w:rsidDel="00000000" w:rsidR="00000000" w:rsidRPr="00000000">
        <w:rPr>
          <w:rFonts w:ascii="Calibri" w:cs="Calibri" w:eastAsia="Calibri" w:hAnsi="Calibri"/>
          <w:sz w:val="22"/>
          <w:szCs w:val="22"/>
          <w:rtl w:val="0"/>
        </w:rPr>
        <w:t xml:space="preserve">, що чесність, прозорість та підзвітність мають важливе значення для успішного виконання Національного плану відновлення та розвитку,</w:t>
      </w:r>
    </w:p>
    <w:p w:rsidR="00000000" w:rsidDel="00000000" w:rsidP="00000000" w:rsidRDefault="00000000" w:rsidRPr="00000000" w14:paraId="00000029">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spacing w:line="275.9999771118164" w:lineRule="auto"/>
        <w:jc w:val="both"/>
        <w:rPr>
          <w:rFonts w:ascii="Calibri" w:cs="Calibri" w:eastAsia="Calibri" w:hAnsi="Calibri"/>
          <w:sz w:val="36"/>
          <w:szCs w:val="36"/>
          <w:vertAlign w:val="superscript"/>
        </w:rPr>
      </w:pPr>
      <w:r w:rsidDel="00000000" w:rsidR="00000000" w:rsidRPr="00000000">
        <w:rPr>
          <w:rFonts w:ascii="Calibri" w:cs="Calibri" w:eastAsia="Calibri" w:hAnsi="Calibri"/>
          <w:b w:val="1"/>
          <w:sz w:val="22"/>
          <w:szCs w:val="22"/>
          <w:rtl w:val="0"/>
        </w:rPr>
        <w:t xml:space="preserve">наголошуємо</w:t>
      </w:r>
      <w:r w:rsidDel="00000000" w:rsidR="00000000" w:rsidRPr="00000000">
        <w:rPr>
          <w:rFonts w:ascii="Calibri" w:cs="Calibri" w:eastAsia="Calibri" w:hAnsi="Calibri"/>
          <w:sz w:val="22"/>
          <w:szCs w:val="22"/>
          <w:rtl w:val="0"/>
        </w:rPr>
        <w:t xml:space="preserve"> на важливості чесного та прозорого фінансування розвитку, кредитування та запозичення відповідно до міжнародних правил, стандартів та визнаних принципів,</w:t>
      </w:r>
      <w:r w:rsidDel="00000000" w:rsidR="00000000" w:rsidRPr="00000000">
        <w:rPr>
          <w:rFonts w:ascii="Calibri" w:cs="Calibri" w:eastAsia="Calibri" w:hAnsi="Calibri"/>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2B">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вітаємо</w:t>
      </w:r>
      <w:r w:rsidDel="00000000" w:rsidR="00000000" w:rsidRPr="00000000">
        <w:rPr>
          <w:rFonts w:ascii="Calibri" w:cs="Calibri" w:eastAsia="Calibri" w:hAnsi="Calibri"/>
          <w:sz w:val="22"/>
          <w:szCs w:val="22"/>
          <w:rtl w:val="0"/>
        </w:rPr>
        <w:t xml:space="preserve"> інноваційні підходи до відновлення, такі як цифрова трансформація; перехід на зелену енергетику; національне та міжнародне інноваційне та стале фінансування, включаючи використання </w:t>
      </w:r>
      <w:r w:rsidDel="00000000" w:rsidR="00000000" w:rsidRPr="00000000">
        <w:rPr>
          <w:rFonts w:ascii="Calibri" w:cs="Calibri" w:eastAsia="Calibri" w:hAnsi="Calibri"/>
          <w:sz w:val="22"/>
          <w:szCs w:val="22"/>
          <w:rtl w:val="0"/>
        </w:rPr>
        <w:t xml:space="preserve">можливих </w:t>
      </w:r>
      <w:r w:rsidDel="00000000" w:rsidR="00000000" w:rsidRPr="00000000">
        <w:rPr>
          <w:rFonts w:ascii="Calibri" w:cs="Calibri" w:eastAsia="Calibri" w:hAnsi="Calibri"/>
          <w:sz w:val="22"/>
          <w:szCs w:val="22"/>
          <w:rtl w:val="0"/>
        </w:rPr>
        <w:t xml:space="preserve">репарацій; внески </w:t>
      </w:r>
      <w:r w:rsidDel="00000000" w:rsidR="00000000" w:rsidRPr="00000000">
        <w:rPr>
          <w:rFonts w:ascii="Calibri" w:cs="Calibri" w:eastAsia="Calibri" w:hAnsi="Calibri"/>
          <w:sz w:val="22"/>
          <w:szCs w:val="22"/>
          <w:rtl w:val="0"/>
        </w:rPr>
        <w:t xml:space="preserve">приватних</w:t>
      </w:r>
      <w:r w:rsidDel="00000000" w:rsidR="00000000" w:rsidRPr="00000000">
        <w:rPr>
          <w:rFonts w:ascii="Calibri" w:cs="Calibri" w:eastAsia="Calibri" w:hAnsi="Calibri"/>
          <w:sz w:val="22"/>
          <w:szCs w:val="22"/>
          <w:rtl w:val="0"/>
        </w:rPr>
        <w:t xml:space="preserve"> донорів і приватного сектору,</w:t>
      </w:r>
    </w:p>
    <w:p w:rsidR="00000000" w:rsidDel="00000000" w:rsidP="00000000" w:rsidRDefault="00000000" w:rsidRPr="00000000" w14:paraId="0000002D">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запрошуємо</w:t>
      </w:r>
      <w:r w:rsidDel="00000000" w:rsidR="00000000" w:rsidRPr="00000000">
        <w:rPr>
          <w:rFonts w:ascii="Calibri" w:cs="Calibri" w:eastAsia="Calibri" w:hAnsi="Calibri"/>
          <w:sz w:val="22"/>
          <w:szCs w:val="22"/>
          <w:rtl w:val="0"/>
        </w:rPr>
        <w:t xml:space="preserve"> приватний сектор, представників наукового середовища та громадянського суспільства, а також </w:t>
      </w:r>
      <w:r w:rsidDel="00000000" w:rsidR="00000000" w:rsidRPr="00000000">
        <w:rPr>
          <w:rFonts w:ascii="Calibri" w:cs="Calibri" w:eastAsia="Calibri" w:hAnsi="Calibri"/>
          <w:sz w:val="22"/>
          <w:szCs w:val="22"/>
          <w:rtl w:val="0"/>
        </w:rPr>
        <w:t xml:space="preserve">учасників</w:t>
      </w:r>
      <w:r w:rsidDel="00000000" w:rsidR="00000000" w:rsidRPr="00000000">
        <w:rPr>
          <w:rFonts w:ascii="Calibri" w:cs="Calibri" w:eastAsia="Calibri" w:hAnsi="Calibri"/>
          <w:sz w:val="22"/>
          <w:szCs w:val="22"/>
          <w:rtl w:val="0"/>
        </w:rPr>
        <w:t xml:space="preserve"> на регіональному рівні, таких як міста, лікарні та інших, вступити в партнерство з українськими колегами,</w:t>
      </w:r>
    </w:p>
    <w:p w:rsidR="00000000" w:rsidDel="00000000" w:rsidP="00000000" w:rsidRDefault="00000000" w:rsidRPr="00000000" w14:paraId="0000002F">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вітаємо</w:t>
      </w:r>
      <w:r w:rsidDel="00000000" w:rsidR="00000000" w:rsidRPr="00000000">
        <w:rPr>
          <w:rFonts w:ascii="Calibri" w:cs="Calibri" w:eastAsia="Calibri" w:hAnsi="Calibri"/>
          <w:sz w:val="22"/>
          <w:szCs w:val="22"/>
          <w:rtl w:val="0"/>
        </w:rPr>
        <w:t xml:space="preserve"> узгоджені зусилля щодо забезпечення подальшої активної діяльності та участі в процесі відновлення України з боку міжнародних партнерів, таких як створення міжнародної платформи для відновлення України та ініціативи </w:t>
      </w:r>
      <w:r w:rsidDel="00000000" w:rsidR="00000000" w:rsidRPr="00000000">
        <w:rPr>
          <w:rFonts w:ascii="Calibri" w:cs="Calibri" w:eastAsia="Calibri" w:hAnsi="Calibri"/>
          <w:sz w:val="22"/>
          <w:szCs w:val="22"/>
          <w:rtl w:val="0"/>
        </w:rPr>
        <w:t xml:space="preserve">головування</w:t>
      </w:r>
      <w:r w:rsidDel="00000000" w:rsidR="00000000" w:rsidRPr="00000000">
        <w:rPr>
          <w:rFonts w:ascii="Calibri" w:cs="Calibri" w:eastAsia="Calibri" w:hAnsi="Calibri"/>
          <w:sz w:val="22"/>
          <w:szCs w:val="22"/>
          <w:rtl w:val="0"/>
        </w:rPr>
        <w:t xml:space="preserve"> G7 щодо скликання міжнародної експертної конференції високого рівня,</w:t>
      </w:r>
    </w:p>
    <w:p w:rsidR="00000000" w:rsidDel="00000000" w:rsidP="00000000" w:rsidRDefault="00000000" w:rsidRPr="00000000" w14:paraId="00000031">
      <w:pPr>
        <w:spacing w:line="275.99997711181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spacing w:line="275.9999771118164" w:lineRule="auto"/>
        <w:jc w:val="both"/>
        <w:rPr>
          <w:rFonts w:ascii="Calibri" w:cs="Calibri" w:eastAsia="Calibri" w:hAnsi="Calibri"/>
          <w:b w:val="1"/>
          <w:sz w:val="26"/>
          <w:szCs w:val="26"/>
        </w:rPr>
      </w:pPr>
      <w:r w:rsidDel="00000000" w:rsidR="00000000" w:rsidRPr="00000000">
        <w:rPr>
          <w:rFonts w:ascii="Calibri" w:cs="Calibri" w:eastAsia="Calibri" w:hAnsi="Calibri"/>
          <w:b w:val="1"/>
          <w:sz w:val="22"/>
          <w:szCs w:val="22"/>
          <w:rtl w:val="0"/>
        </w:rPr>
        <w:t xml:space="preserve">вітаємо</w:t>
      </w:r>
      <w:r w:rsidDel="00000000" w:rsidR="00000000" w:rsidRPr="00000000">
        <w:rPr>
          <w:rFonts w:ascii="Calibri" w:cs="Calibri" w:eastAsia="Calibri" w:hAnsi="Calibri"/>
          <w:sz w:val="22"/>
          <w:szCs w:val="22"/>
          <w:rtl w:val="0"/>
        </w:rPr>
        <w:t xml:space="preserve"> пропозицію Сполученого Королівства Великої Британії провести наступну Конференцію з питань відновлення України у 2023 році.</w:t>
      </w: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i w:val="1"/>
          <w:sz w:val="24"/>
          <w:szCs w:val="24"/>
          <w:highlight w:val="lightGray"/>
        </w:rPr>
      </w:pPr>
      <w:r w:rsidDel="00000000" w:rsidR="00000000" w:rsidRPr="00000000">
        <w:rPr>
          <w:rtl w:val="0"/>
        </w:rPr>
      </w:r>
    </w:p>
    <w:p w:rsidR="00000000" w:rsidDel="00000000" w:rsidP="00000000" w:rsidRDefault="00000000" w:rsidRPr="00000000" w14:paraId="00000035">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p>
    <w:p w:rsidR="00000000" w:rsidDel="00000000" w:rsidP="00000000" w:rsidRDefault="00000000" w:rsidRPr="00000000" w14:paraId="00000036">
      <w:pPr>
        <w:spacing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Керівні принципи процесу відновлення України</w:t>
      </w:r>
    </w:p>
    <w:p w:rsidR="00000000" w:rsidDel="00000000" w:rsidP="00000000" w:rsidRDefault="00000000" w:rsidRPr="00000000" w14:paraId="00000038">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(«Принципи Лугано»)</w:t>
      </w:r>
    </w:p>
    <w:p w:rsidR="00000000" w:rsidDel="00000000" w:rsidP="00000000" w:rsidRDefault="00000000" w:rsidRPr="00000000" w14:paraId="00000039">
      <w:pPr>
        <w:rPr>
          <w:sz w:val="8"/>
          <w:szCs w:val="8"/>
        </w:rPr>
      </w:pPr>
      <w:r w:rsidDel="00000000" w:rsidR="00000000" w:rsidRPr="00000000">
        <w:rPr>
          <w:rtl w:val="0"/>
        </w:rPr>
      </w:r>
    </w:p>
    <w:p w:rsidR="00000000" w:rsidDel="00000000" w:rsidP="00000000" w:rsidRDefault="00000000" w:rsidRPr="00000000" w14:paraId="0000003A">
      <w:pPr>
        <w:rPr>
          <w:sz w:val="8"/>
          <w:szCs w:val="8"/>
        </w:rPr>
      </w:pPr>
      <w:r w:rsidDel="00000000" w:rsidR="00000000" w:rsidRPr="00000000">
        <w:rPr>
          <w:rtl w:val="0"/>
        </w:rPr>
      </w:r>
    </w:p>
    <w:p w:rsidR="00000000" w:rsidDel="00000000" w:rsidP="00000000" w:rsidRDefault="00000000" w:rsidRPr="00000000" w14:paraId="0000003B">
      <w:pPr>
        <w:jc w:val="center"/>
        <w:rPr>
          <w:sz w:val="8"/>
          <w:szCs w:val="8"/>
        </w:rPr>
      </w:pP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9067"/>
        <w:tblGridChange w:id="0">
          <w:tblGrid>
            <w:gridCol w:w="9067"/>
          </w:tblGrid>
        </w:tblGridChange>
      </w:tblGrid>
      <w:tr>
        <w:trPr>
          <w:cantSplit w:val="1"/>
          <w:trHeight w:val="1765" w:hRule="atLeast"/>
          <w:tblHeader w:val="0"/>
        </w:trPr>
        <w:tc>
          <w:tcPr>
            <w:shd w:fill="c6d9f1" w:val="clear"/>
          </w:tcPr>
          <w:p w:rsidR="00000000" w:rsidDel="00000000" w:rsidP="00000000" w:rsidRDefault="00000000" w:rsidRPr="00000000" w14:paraId="0000003C">
            <w:pPr>
              <w:spacing w:before="120" w:line="276" w:lineRule="auto"/>
              <w:ind w:left="113" w:right="11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Партнерство</w:t>
            </w:r>
          </w:p>
          <w:p w:rsidR="00000000" w:rsidDel="00000000" w:rsidP="00000000" w:rsidRDefault="00000000" w:rsidRPr="00000000" w14:paraId="0000003D">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очолюється та здійснюється під керівництвом України та проводиться у партнерстві з її міжнародними партнерами.</w:t>
            </w:r>
          </w:p>
          <w:p w:rsidR="00000000" w:rsidDel="00000000" w:rsidP="00000000" w:rsidRDefault="00000000" w:rsidRPr="00000000" w14:paraId="0000003E">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Зусилля з відновлення мають базуватися на процесі оцінки необхідних та поточних потреб, узгоджених пріоритетах, спільному плануванні результатів, взаємній відповідальності за фінансові потоки та ефективній координації.</w:t>
            </w:r>
          </w:p>
          <w:p w:rsidR="00000000" w:rsidDel="00000000" w:rsidP="00000000" w:rsidRDefault="00000000" w:rsidRPr="00000000" w14:paraId="0000003F">
            <w:pPr>
              <w:spacing w:before="120" w:line="276" w:lineRule="auto"/>
              <w:ind w:left="113" w:right="113" w:firstLine="0"/>
              <w:jc w:val="both"/>
              <w:rPr>
                <w:rFonts w:ascii="Calibri" w:cs="Calibri" w:eastAsia="Calibri" w:hAnsi="Calibri"/>
                <w:sz w:val="22"/>
                <w:szCs w:val="22"/>
              </w:rPr>
            </w:pPr>
            <w:r w:rsidDel="00000000" w:rsidR="00000000" w:rsidRPr="00000000">
              <w:rPr>
                <w:rtl w:val="0"/>
              </w:rPr>
            </w:r>
          </w:p>
        </w:tc>
      </w:tr>
      <w:tr>
        <w:trPr>
          <w:cantSplit w:val="1"/>
          <w:trHeight w:val="1145" w:hRule="atLeast"/>
          <w:tblHeader w:val="0"/>
        </w:trPr>
        <w:tc>
          <w:tcPr>
            <w:shd w:fill="c6d9f1" w:val="clear"/>
          </w:tcPr>
          <w:p w:rsidR="00000000" w:rsidDel="00000000" w:rsidP="00000000" w:rsidRDefault="00000000" w:rsidRPr="00000000" w14:paraId="00000040">
            <w:pPr>
              <w:spacing w:before="120" w:line="276" w:lineRule="auto"/>
              <w:ind w:left="113" w:right="11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Спрямованість на реформи</w:t>
            </w:r>
          </w:p>
          <w:p w:rsidR="00000000" w:rsidDel="00000000" w:rsidP="00000000" w:rsidRDefault="00000000" w:rsidRPr="00000000" w14:paraId="00000041">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повинен сприяти прискоренню, поглибленню, розширенню та досягненню зусиль України щодо впровадження реформ і їх стійкості відповідно до європейського шляху України.</w:t>
            </w:r>
          </w:p>
          <w:p w:rsidR="00000000" w:rsidDel="00000000" w:rsidP="00000000" w:rsidRDefault="00000000" w:rsidRPr="00000000" w14:paraId="00000042">
            <w:pPr>
              <w:spacing w:before="120" w:line="276" w:lineRule="auto"/>
              <w:ind w:left="113" w:right="113" w:firstLine="0"/>
              <w:jc w:val="both"/>
              <w:rPr>
                <w:rFonts w:ascii="Calibri" w:cs="Calibri" w:eastAsia="Calibri" w:hAnsi="Calibri"/>
                <w:sz w:val="22"/>
                <w:szCs w:val="22"/>
              </w:rPr>
            </w:pPr>
            <w:r w:rsidDel="00000000" w:rsidR="00000000" w:rsidRPr="00000000">
              <w:rPr>
                <w:rtl w:val="0"/>
              </w:rPr>
            </w:r>
          </w:p>
        </w:tc>
      </w:tr>
      <w:tr>
        <w:trPr>
          <w:cantSplit w:val="1"/>
          <w:trHeight w:val="1097" w:hRule="atLeast"/>
          <w:tblHeader w:val="0"/>
        </w:trPr>
        <w:tc>
          <w:tcPr>
            <w:shd w:fill="c6d9f1" w:val="clear"/>
          </w:tcPr>
          <w:p w:rsidR="00000000" w:rsidDel="00000000" w:rsidP="00000000" w:rsidRDefault="00000000" w:rsidRPr="00000000" w14:paraId="00000043">
            <w:pPr>
              <w:spacing w:before="120" w:line="276" w:lineRule="auto"/>
              <w:ind w:left="113" w:right="11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Прозорість, підзвітність і верховенство права</w:t>
            </w:r>
          </w:p>
          <w:p w:rsidR="00000000" w:rsidDel="00000000" w:rsidP="00000000" w:rsidRDefault="00000000" w:rsidRPr="00000000" w14:paraId="00000044">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має бути прозорим і підзвітним українському народу. Потрібно систематично зміцнювати верховенство права та викорінювати корупцію. Усі види фінансування відновлення мають бути справедливими та прозорими.</w:t>
            </w:r>
          </w:p>
          <w:p w:rsidR="00000000" w:rsidDel="00000000" w:rsidP="00000000" w:rsidRDefault="00000000" w:rsidRPr="00000000" w14:paraId="00000045">
            <w:pPr>
              <w:spacing w:before="120" w:line="276" w:lineRule="auto"/>
              <w:ind w:left="113" w:right="113" w:firstLine="0"/>
              <w:jc w:val="both"/>
              <w:rPr>
                <w:rFonts w:ascii="Calibri" w:cs="Calibri" w:eastAsia="Calibri" w:hAnsi="Calibri"/>
                <w:sz w:val="22"/>
                <w:szCs w:val="22"/>
              </w:rPr>
            </w:pPr>
            <w:r w:rsidDel="00000000" w:rsidR="00000000" w:rsidRPr="00000000">
              <w:rPr>
                <w:rtl w:val="0"/>
              </w:rPr>
            </w:r>
          </w:p>
        </w:tc>
      </w:tr>
      <w:tr>
        <w:trPr>
          <w:cantSplit w:val="1"/>
          <w:trHeight w:val="1190" w:hRule="atLeast"/>
          <w:tblHeader w:val="0"/>
        </w:trPr>
        <w:tc>
          <w:tcPr>
            <w:shd w:fill="c6d9f1" w:val="clear"/>
          </w:tcPr>
          <w:p w:rsidR="00000000" w:rsidDel="00000000" w:rsidP="00000000" w:rsidRDefault="00000000" w:rsidRPr="00000000" w14:paraId="00000046">
            <w:pPr>
              <w:spacing w:before="120" w:line="276" w:lineRule="auto"/>
              <w:ind w:left="113" w:right="11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Демократична участь</w:t>
            </w:r>
          </w:p>
          <w:p w:rsidR="00000000" w:rsidDel="00000000" w:rsidP="00000000" w:rsidRDefault="00000000" w:rsidRPr="00000000" w14:paraId="00000047">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має бути цілісним зусиллям всього суспільства, спрямованим на демократичну участь населення, включаючи внутрішньо переміщених осіб і тих, хто  повертається з-за кордону, місцеве самоврядування та ефективну децентралізацію.</w:t>
            </w:r>
          </w:p>
          <w:p w:rsidR="00000000" w:rsidDel="00000000" w:rsidP="00000000" w:rsidRDefault="00000000" w:rsidRPr="00000000" w14:paraId="00000048">
            <w:pPr>
              <w:spacing w:before="120" w:line="276" w:lineRule="auto"/>
              <w:ind w:left="113" w:right="113" w:firstLine="0"/>
              <w:jc w:val="both"/>
              <w:rPr>
                <w:rFonts w:ascii="Calibri" w:cs="Calibri" w:eastAsia="Calibri" w:hAnsi="Calibri"/>
                <w:sz w:val="22"/>
                <w:szCs w:val="22"/>
              </w:rPr>
            </w:pPr>
            <w:r w:rsidDel="00000000" w:rsidR="00000000" w:rsidRPr="00000000">
              <w:rPr>
                <w:rtl w:val="0"/>
              </w:rPr>
            </w:r>
          </w:p>
        </w:tc>
      </w:tr>
      <w:tr>
        <w:trPr>
          <w:cantSplit w:val="1"/>
          <w:trHeight w:val="1142" w:hRule="atLeast"/>
          <w:tblHeader w:val="0"/>
        </w:trPr>
        <w:tc>
          <w:tcPr>
            <w:shd w:fill="c6d9f1" w:val="clear"/>
          </w:tcPr>
          <w:p w:rsidR="00000000" w:rsidDel="00000000" w:rsidP="00000000" w:rsidRDefault="00000000" w:rsidRPr="00000000" w14:paraId="00000049">
            <w:pPr>
              <w:spacing w:before="120" w:line="276" w:lineRule="auto"/>
              <w:ind w:left="113" w:right="11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Залучення багатьох стейкхолдерів</w:t>
            </w:r>
          </w:p>
          <w:p w:rsidR="00000000" w:rsidDel="00000000" w:rsidP="00000000" w:rsidRDefault="00000000" w:rsidRPr="00000000" w14:paraId="0000004A">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має сприяти співпраці між національними та міжнародними учасниками, включно з приватним сектором, громадянським суспільством, науковими колами та місцевими органами влади.</w:t>
            </w:r>
          </w:p>
          <w:p w:rsidR="00000000" w:rsidDel="00000000" w:rsidP="00000000" w:rsidRDefault="00000000" w:rsidRPr="00000000" w14:paraId="0000004B">
            <w:pPr>
              <w:spacing w:before="120" w:line="276" w:lineRule="auto"/>
              <w:ind w:left="113" w:right="113" w:firstLine="0"/>
              <w:jc w:val="both"/>
              <w:rPr>
                <w:rFonts w:ascii="Calibri" w:cs="Calibri" w:eastAsia="Calibri" w:hAnsi="Calibri"/>
                <w:sz w:val="22"/>
                <w:szCs w:val="22"/>
              </w:rPr>
            </w:pPr>
            <w:r w:rsidDel="00000000" w:rsidR="00000000" w:rsidRPr="00000000">
              <w:rPr>
                <w:rtl w:val="0"/>
              </w:rPr>
            </w:r>
          </w:p>
        </w:tc>
      </w:tr>
      <w:tr>
        <w:trPr>
          <w:cantSplit w:val="1"/>
          <w:trHeight w:val="1250" w:hRule="atLeast"/>
          <w:tblHeader w:val="0"/>
        </w:trPr>
        <w:tc>
          <w:tcPr>
            <w:shd w:fill="c6d9f1" w:val="clear"/>
          </w:tcPr>
          <w:p w:rsidR="00000000" w:rsidDel="00000000" w:rsidP="00000000" w:rsidRDefault="00000000" w:rsidRPr="00000000" w14:paraId="0000004C">
            <w:pPr>
              <w:spacing w:before="120" w:line="276" w:lineRule="auto"/>
              <w:ind w:left="113" w:right="11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Гендерна рівність та інклюзія</w:t>
            </w:r>
          </w:p>
          <w:p w:rsidR="00000000" w:rsidDel="00000000" w:rsidP="00000000" w:rsidRDefault="00000000" w:rsidRPr="00000000" w14:paraId="0000004D">
            <w:pPr>
              <w:spacing w:before="120" w:line="276" w:lineRule="auto"/>
              <w:ind w:left="113" w:right="1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має бути інклюзивним та забезпечувати гендерну рівність та повагу до прав людини, включаючи її економічні, соціальні та культурні права. Відновлення має принести користь кожному, і ніхто з членів суспільства не повинен залишитися осторонь. Нерівність потрібно зменшити.</w:t>
            </w:r>
          </w:p>
          <w:p w:rsidR="00000000" w:rsidDel="00000000" w:rsidP="00000000" w:rsidRDefault="00000000" w:rsidRPr="00000000" w14:paraId="0000004E">
            <w:pPr>
              <w:spacing w:before="120" w:line="276" w:lineRule="auto"/>
              <w:ind w:left="113" w:right="113" w:firstLine="0"/>
              <w:jc w:val="both"/>
              <w:rPr>
                <w:rFonts w:ascii="Calibri" w:cs="Calibri" w:eastAsia="Calibri" w:hAnsi="Calibri"/>
                <w:sz w:val="22"/>
                <w:szCs w:val="22"/>
              </w:rPr>
            </w:pPr>
            <w:r w:rsidDel="00000000" w:rsidR="00000000" w:rsidRPr="00000000">
              <w:rPr>
                <w:rtl w:val="0"/>
              </w:rPr>
            </w:r>
          </w:p>
        </w:tc>
      </w:tr>
      <w:tr>
        <w:trPr>
          <w:cantSplit w:val="1"/>
          <w:trHeight w:val="1178" w:hRule="atLeast"/>
          <w:tblHeader w:val="0"/>
        </w:trPr>
        <w:tc>
          <w:tcPr>
            <w:shd w:fill="c6d9f1" w:val="clear"/>
          </w:tcPr>
          <w:p w:rsidR="00000000" w:rsidDel="00000000" w:rsidP="00000000" w:rsidRDefault="00000000" w:rsidRPr="00000000" w14:paraId="0000004F">
            <w:pPr>
              <w:spacing w:before="120" w:lineRule="auto"/>
              <w:ind w:right="113"/>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spacing w:before="120" w:lineRule="auto"/>
              <w:ind w:right="113"/>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Сталий розвиток </w:t>
            </w:r>
          </w:p>
          <w:p w:rsidR="00000000" w:rsidDel="00000000" w:rsidP="00000000" w:rsidRDefault="00000000" w:rsidRPr="00000000" w14:paraId="00000051">
            <w:pPr>
              <w:spacing w:before="120" w:lineRule="auto"/>
              <w:ind w:right="11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Процес відновлення має забезпечити сталу перебудову України, яка узгоджується з Порядком денним сталого розвитку до 2030 року та Паризькою угодою, інтегруючи соціальні, економічні та екологічні аспекти, включаючи зелений перехід.</w:t>
            </w:r>
          </w:p>
          <w:p w:rsidR="00000000" w:rsidDel="00000000" w:rsidP="00000000" w:rsidRDefault="00000000" w:rsidRPr="00000000" w14:paraId="00000052">
            <w:pPr>
              <w:spacing w:after="240" w:before="120" w:line="276" w:lineRule="auto"/>
              <w:ind w:right="113"/>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sectPr>
      <w:headerReference r:id="rId8" w:type="default"/>
      <w:footerReference r:id="rId9" w:type="default"/>
      <w:pgSz w:h="16840" w:w="11907" w:orient="portrait"/>
      <w:pgMar w:bottom="1134" w:top="851" w:left="1417" w:right="1417" w:header="680" w:footer="1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rPr>
          <w:vertAlign w:val="superscript"/>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Calibri" w:cs="Calibri" w:eastAsia="Calibri" w:hAnsi="Calibri"/>
          <w:vertAlign w:val="superscript"/>
          <w:rtl w:val="0"/>
        </w:rPr>
        <w:t xml:space="preserve">Зокрема, стандарти OECD/DAC, принципи та практики Паризького клубу, оперативні рекомендації G20 щодо сталого фінансування, принципи G20 високого рівня щодо запобігання та боротьби з корупцією в надзвичайних ситуаціях, норми та стандарти ЄС;</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480" w:lineRule="auto"/>
      <w:ind w:left="709" w:hanging="709"/>
    </w:pPr>
    <w:rPr>
      <w:b w:val="1"/>
      <w:sz w:val="42"/>
      <w:szCs w:val="42"/>
    </w:rPr>
  </w:style>
  <w:style w:type="paragraph" w:styleId="Heading2">
    <w:name w:val="heading 2"/>
    <w:basedOn w:val="Normal"/>
    <w:next w:val="Normal"/>
    <w:pPr>
      <w:keepNext w:val="1"/>
      <w:spacing w:line="380" w:lineRule="auto"/>
      <w:ind w:left="709" w:hanging="709"/>
    </w:pPr>
    <w:rPr>
      <w:b w:val="1"/>
      <w:sz w:val="32"/>
      <w:szCs w:val="32"/>
    </w:rPr>
  </w:style>
  <w:style w:type="paragraph" w:styleId="Heading3">
    <w:name w:val="heading 3"/>
    <w:basedOn w:val="Normal"/>
    <w:next w:val="Normal"/>
    <w:pPr>
      <w:keepNext w:val="1"/>
      <w:spacing w:line="300" w:lineRule="auto"/>
      <w:ind w:left="709" w:hanging="709"/>
    </w:pPr>
    <w:rPr>
      <w:b w:val="1"/>
      <w:sz w:val="24"/>
      <w:szCs w:val="24"/>
    </w:rPr>
  </w:style>
  <w:style w:type="paragraph" w:styleId="Heading4">
    <w:name w:val="heading 4"/>
    <w:basedOn w:val="Normal"/>
    <w:next w:val="Normal"/>
    <w:pPr>
      <w:keepNext w:val="1"/>
      <w:tabs>
        <w:tab w:val="left" w:pos="720"/>
      </w:tabs>
      <w:ind w:left="709" w:hanging="709"/>
    </w:pPr>
    <w:rPr>
      <w:b w:val="1"/>
    </w:rPr>
  </w:style>
  <w:style w:type="paragraph" w:styleId="Heading5">
    <w:name w:val="heading 5"/>
    <w:basedOn w:val="Normal"/>
    <w:next w:val="Normal"/>
    <w:pPr>
      <w:keepNext w:val="1"/>
      <w:keepLines w:val="1"/>
      <w:spacing w:before="200" w:lineRule="auto"/>
      <w:ind w:left="709" w:hanging="709"/>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709" w:hanging="709"/>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EE4B18"/>
    <w:rPr>
      <w:rFonts w:ascii="Arial" w:hAnsi="Arial"/>
      <w:szCs w:val="24"/>
      <w:lang w:val="en-US"/>
    </w:rPr>
  </w:style>
  <w:style w:type="paragraph" w:styleId="1">
    <w:name w:val="heading 1"/>
    <w:basedOn w:val="a"/>
    <w:next w:val="a"/>
    <w:autoRedefine w:val="1"/>
    <w:qFormat w:val="1"/>
    <w:rsid w:val="0028733B"/>
    <w:pPr>
      <w:keepNext w:val="1"/>
      <w:numPr>
        <w:numId w:val="1"/>
      </w:numPr>
      <w:spacing w:line="480" w:lineRule="exact"/>
      <w:outlineLvl w:val="0"/>
    </w:pPr>
    <w:rPr>
      <w:rFonts w:cs="Arial"/>
      <w:b w:val="1"/>
      <w:bCs w:val="1"/>
      <w:kern w:val="32"/>
      <w:sz w:val="42"/>
      <w:szCs w:val="32"/>
    </w:rPr>
  </w:style>
  <w:style w:type="paragraph" w:styleId="2">
    <w:name w:val="heading 2"/>
    <w:basedOn w:val="1"/>
    <w:next w:val="a"/>
    <w:autoRedefine w:val="1"/>
    <w:qFormat w:val="1"/>
    <w:rsid w:val="00537DC6"/>
    <w:pPr>
      <w:numPr>
        <w:ilvl w:val="1"/>
      </w:numPr>
      <w:spacing w:line="380" w:lineRule="exact"/>
      <w:outlineLvl w:val="1"/>
    </w:pPr>
    <w:rPr>
      <w:bCs w:val="0"/>
      <w:iCs w:val="1"/>
      <w:sz w:val="32"/>
      <w:szCs w:val="28"/>
    </w:rPr>
  </w:style>
  <w:style w:type="paragraph" w:styleId="3">
    <w:name w:val="heading 3"/>
    <w:basedOn w:val="a"/>
    <w:next w:val="a"/>
    <w:autoRedefine w:val="1"/>
    <w:qFormat w:val="1"/>
    <w:rsid w:val="00537DC6"/>
    <w:pPr>
      <w:keepNext w:val="1"/>
      <w:numPr>
        <w:ilvl w:val="2"/>
        <w:numId w:val="1"/>
      </w:numPr>
      <w:spacing w:line="300" w:lineRule="exact"/>
      <w:outlineLvl w:val="2"/>
    </w:pPr>
    <w:rPr>
      <w:rFonts w:cs="Arial"/>
      <w:b w:val="1"/>
      <w:bCs w:val="1"/>
      <w:sz w:val="24"/>
    </w:rPr>
  </w:style>
  <w:style w:type="paragraph" w:styleId="4">
    <w:name w:val="heading 4"/>
    <w:basedOn w:val="a"/>
    <w:next w:val="a"/>
    <w:autoRedefine w:val="1"/>
    <w:qFormat w:val="1"/>
    <w:rsid w:val="00870243"/>
    <w:pPr>
      <w:keepNext w:val="1"/>
      <w:numPr>
        <w:ilvl w:val="3"/>
        <w:numId w:val="1"/>
      </w:numPr>
      <w:tabs>
        <w:tab w:val="left" w:pos="720"/>
      </w:tabs>
      <w:outlineLvl w:val="3"/>
    </w:pPr>
    <w:rPr>
      <w:b w:val="1"/>
      <w:bCs w:val="1"/>
      <w:szCs w:val="28"/>
    </w:rPr>
  </w:style>
  <w:style w:type="paragraph" w:styleId="5">
    <w:name w:val="heading 5"/>
    <w:basedOn w:val="a"/>
    <w:next w:val="a"/>
    <w:link w:val="50"/>
    <w:uiPriority w:val="9"/>
    <w:semiHidden w:val="1"/>
    <w:unhideWhenUsed w:val="1"/>
    <w:qFormat w:val="1"/>
    <w:rsid w:val="00AA40A6"/>
    <w:pPr>
      <w:keepNext w:val="1"/>
      <w:keepLines w:val="1"/>
      <w:spacing w:before="200"/>
      <w:ind w:left="709" w:hanging="709"/>
      <w:outlineLvl w:val="4"/>
    </w:pPr>
    <w:rPr>
      <w:rFonts w:asciiTheme="majorHAnsi" w:cstheme="majorBidi" w:eastAsiaTheme="majorEastAsia" w:hAnsiTheme="majorHAnsi"/>
      <w:color w:val="243f60" w:themeColor="accent1" w:themeShade="00007F"/>
    </w:rPr>
  </w:style>
  <w:style w:type="paragraph" w:styleId="6">
    <w:name w:val="heading 6"/>
    <w:basedOn w:val="a"/>
    <w:next w:val="a"/>
    <w:link w:val="60"/>
    <w:uiPriority w:val="9"/>
    <w:semiHidden w:val="1"/>
    <w:unhideWhenUsed w:val="1"/>
    <w:qFormat w:val="1"/>
    <w:rsid w:val="00AA40A6"/>
    <w:pPr>
      <w:keepNext w:val="1"/>
      <w:keepLines w:val="1"/>
      <w:spacing w:before="200"/>
      <w:ind w:left="709" w:hanging="709"/>
      <w:outlineLvl w:val="5"/>
    </w:pPr>
    <w:rPr>
      <w:rFonts w:asciiTheme="majorHAnsi" w:cstheme="majorBidi" w:eastAsiaTheme="majorEastAsia" w:hAnsiTheme="majorHAnsi"/>
      <w:i w:val="1"/>
      <w:iCs w:val="1"/>
      <w:color w:val="243f60" w:themeColor="accent1" w:themeShade="00007F"/>
    </w:rPr>
  </w:style>
  <w:style w:type="paragraph" w:styleId="7">
    <w:name w:val="heading 7"/>
    <w:basedOn w:val="a"/>
    <w:next w:val="a"/>
    <w:link w:val="70"/>
    <w:uiPriority w:val="9"/>
    <w:semiHidden w:val="1"/>
    <w:unhideWhenUsed w:val="1"/>
    <w:qFormat w:val="1"/>
    <w:rsid w:val="00AA40A6"/>
    <w:pPr>
      <w:keepNext w:val="1"/>
      <w:keepLines w:val="1"/>
      <w:spacing w:before="200"/>
      <w:ind w:left="709" w:hanging="709"/>
      <w:outlineLvl w:val="6"/>
    </w:pPr>
    <w:rPr>
      <w:rFonts w:asciiTheme="majorHAnsi" w:cstheme="majorBidi" w:eastAsiaTheme="majorEastAsia" w:hAnsiTheme="majorHAnsi"/>
      <w:i w:val="1"/>
      <w:iCs w:val="1"/>
      <w:color w:val="404040" w:themeColor="text1" w:themeTint="0000BF"/>
    </w:rPr>
  </w:style>
  <w:style w:type="paragraph" w:styleId="8">
    <w:name w:val="heading 8"/>
    <w:basedOn w:val="a"/>
    <w:next w:val="a"/>
    <w:link w:val="80"/>
    <w:uiPriority w:val="9"/>
    <w:semiHidden w:val="1"/>
    <w:unhideWhenUsed w:val="1"/>
    <w:qFormat w:val="1"/>
    <w:rsid w:val="00AA40A6"/>
    <w:pPr>
      <w:keepNext w:val="1"/>
      <w:keepLines w:val="1"/>
      <w:spacing w:before="200"/>
      <w:ind w:left="709" w:hanging="709"/>
      <w:outlineLvl w:val="7"/>
    </w:pPr>
    <w:rPr>
      <w:rFonts w:asciiTheme="majorHAnsi" w:cstheme="majorBidi" w:eastAsiaTheme="majorEastAsia" w:hAnsiTheme="majorHAnsi"/>
      <w:color w:val="404040" w:themeColor="text1" w:themeTint="0000BF"/>
      <w:szCs w:val="20"/>
    </w:rPr>
  </w:style>
  <w:style w:type="paragraph" w:styleId="9">
    <w:name w:val="heading 9"/>
    <w:basedOn w:val="a"/>
    <w:next w:val="a"/>
    <w:link w:val="90"/>
    <w:uiPriority w:val="9"/>
    <w:semiHidden w:val="1"/>
    <w:unhideWhenUsed w:val="1"/>
    <w:qFormat w:val="1"/>
    <w:rsid w:val="00AA40A6"/>
    <w:pPr>
      <w:keepNext w:val="1"/>
      <w:keepLines w:val="1"/>
      <w:spacing w:before="200"/>
      <w:ind w:left="709" w:hanging="709"/>
      <w:outlineLvl w:val="8"/>
    </w:pPr>
    <w:rPr>
      <w:rFonts w:asciiTheme="majorHAnsi" w:cstheme="majorBidi" w:eastAsiaTheme="majorEastAsia" w:hAnsiTheme="majorHAnsi"/>
      <w:i w:val="1"/>
      <w:iCs w:val="1"/>
      <w:color w:val="404040" w:themeColor="text1" w:themeTint="0000BF"/>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Title1" w:customStyle="1">
    <w:name w:val="Title 1"/>
    <w:basedOn w:val="a"/>
    <w:autoRedefine w:val="1"/>
    <w:qFormat w:val="1"/>
    <w:rsid w:val="003A2E6A"/>
    <w:pPr>
      <w:spacing w:line="480" w:lineRule="exact"/>
    </w:pPr>
    <w:rPr>
      <w:b w:val="1"/>
      <w:sz w:val="42"/>
      <w:lang w:val="de-CH"/>
    </w:rPr>
  </w:style>
  <w:style w:type="paragraph" w:styleId="Title2" w:customStyle="1">
    <w:name w:val="Title 2"/>
    <w:basedOn w:val="a"/>
    <w:autoRedefine w:val="1"/>
    <w:qFormat w:val="1"/>
    <w:rsid w:val="006F554B"/>
    <w:pPr>
      <w:spacing w:line="380" w:lineRule="exact"/>
    </w:pPr>
    <w:rPr>
      <w:b w:val="1"/>
      <w:sz w:val="32"/>
    </w:rPr>
  </w:style>
  <w:style w:type="paragraph" w:styleId="Title3" w:customStyle="1">
    <w:name w:val="Title 3"/>
    <w:basedOn w:val="a"/>
    <w:autoRedefine w:val="1"/>
    <w:qFormat w:val="1"/>
    <w:rsid w:val="006F554B"/>
    <w:pPr>
      <w:spacing w:line="300" w:lineRule="exact"/>
    </w:pPr>
    <w:rPr>
      <w:b w:val="1"/>
      <w:sz w:val="24"/>
    </w:rPr>
  </w:style>
  <w:style w:type="paragraph" w:styleId="Title4" w:customStyle="1">
    <w:name w:val="Title 4"/>
    <w:basedOn w:val="a"/>
    <w:autoRedefine w:val="1"/>
    <w:qFormat w:val="1"/>
    <w:rsid w:val="006F554B"/>
    <w:rPr>
      <w:b w:val="1"/>
    </w:rPr>
  </w:style>
  <w:style w:type="paragraph" w:styleId="10">
    <w:name w:val="toc 1"/>
    <w:basedOn w:val="a"/>
    <w:next w:val="a"/>
    <w:rsid w:val="00731CD0"/>
    <w:pPr>
      <w:spacing w:after="120" w:before="120"/>
    </w:pPr>
  </w:style>
  <w:style w:type="paragraph" w:styleId="20">
    <w:name w:val="toc 2"/>
    <w:basedOn w:val="a"/>
    <w:next w:val="a"/>
    <w:rsid w:val="00731CD0"/>
    <w:pPr>
      <w:spacing w:before="60"/>
      <w:ind w:left="238"/>
    </w:pPr>
  </w:style>
  <w:style w:type="paragraph" w:styleId="30">
    <w:name w:val="toc 3"/>
    <w:basedOn w:val="a"/>
    <w:next w:val="a"/>
    <w:rsid w:val="00731CD0"/>
    <w:pPr>
      <w:ind w:left="480"/>
    </w:pPr>
  </w:style>
  <w:style w:type="paragraph" w:styleId="40">
    <w:name w:val="toc 4"/>
    <w:basedOn w:val="a"/>
    <w:next w:val="a"/>
    <w:rsid w:val="00731CD0"/>
    <w:pPr>
      <w:ind w:left="720"/>
    </w:pPr>
  </w:style>
  <w:style w:type="paragraph" w:styleId="Normal-klein" w:customStyle="1">
    <w:name w:val="Normal-klein"/>
    <w:basedOn w:val="a"/>
    <w:autoRedefine w:val="1"/>
    <w:qFormat w:val="1"/>
    <w:rsid w:val="002200CB"/>
    <w:pPr>
      <w:spacing w:line="200" w:lineRule="exact"/>
    </w:pPr>
    <w:rPr>
      <w:sz w:val="15"/>
    </w:rPr>
  </w:style>
  <w:style w:type="paragraph" w:styleId="a3">
    <w:name w:val="header"/>
    <w:basedOn w:val="a"/>
    <w:rsid w:val="00483FAE"/>
    <w:pPr>
      <w:tabs>
        <w:tab w:val="center" w:pos="4536"/>
        <w:tab w:val="right" w:pos="9072"/>
      </w:tabs>
    </w:pPr>
    <w:rPr>
      <w:sz w:val="18"/>
    </w:rPr>
  </w:style>
  <w:style w:type="paragraph" w:styleId="a4">
    <w:name w:val="footer"/>
    <w:basedOn w:val="a"/>
    <w:link w:val="a5"/>
    <w:uiPriority w:val="99"/>
    <w:rsid w:val="00483FAE"/>
    <w:pPr>
      <w:tabs>
        <w:tab w:val="center" w:pos="4536"/>
        <w:tab w:val="right" w:pos="9072"/>
      </w:tabs>
    </w:pPr>
    <w:rPr>
      <w:sz w:val="18"/>
    </w:rPr>
  </w:style>
  <w:style w:type="character" w:styleId="50" w:customStyle="1">
    <w:name w:val="Заголовок 5 Знак"/>
    <w:basedOn w:val="a0"/>
    <w:link w:val="5"/>
    <w:uiPriority w:val="9"/>
    <w:semiHidden w:val="1"/>
    <w:rsid w:val="00AA40A6"/>
    <w:rPr>
      <w:rFonts w:asciiTheme="majorHAnsi" w:cstheme="majorBidi" w:eastAsiaTheme="majorEastAsia" w:hAnsiTheme="majorHAnsi"/>
      <w:color w:val="243f60" w:themeColor="accent1" w:themeShade="00007F"/>
      <w:szCs w:val="24"/>
      <w:lang w:eastAsia="en-US" w:val="en-US"/>
    </w:rPr>
  </w:style>
  <w:style w:type="character" w:styleId="60" w:customStyle="1">
    <w:name w:val="Заголовок 6 Знак"/>
    <w:basedOn w:val="a0"/>
    <w:link w:val="6"/>
    <w:uiPriority w:val="9"/>
    <w:semiHidden w:val="1"/>
    <w:rsid w:val="00AA40A6"/>
    <w:rPr>
      <w:rFonts w:asciiTheme="majorHAnsi" w:cstheme="majorBidi" w:eastAsiaTheme="majorEastAsia" w:hAnsiTheme="majorHAnsi"/>
      <w:i w:val="1"/>
      <w:iCs w:val="1"/>
      <w:color w:val="243f60" w:themeColor="accent1" w:themeShade="00007F"/>
      <w:szCs w:val="24"/>
      <w:lang w:eastAsia="en-US" w:val="en-US"/>
    </w:rPr>
  </w:style>
  <w:style w:type="character" w:styleId="70" w:customStyle="1">
    <w:name w:val="Заголовок 7 Знак"/>
    <w:basedOn w:val="a0"/>
    <w:link w:val="7"/>
    <w:uiPriority w:val="9"/>
    <w:semiHidden w:val="1"/>
    <w:rsid w:val="00AA40A6"/>
    <w:rPr>
      <w:rFonts w:asciiTheme="majorHAnsi" w:cstheme="majorBidi" w:eastAsiaTheme="majorEastAsia" w:hAnsiTheme="majorHAnsi"/>
      <w:i w:val="1"/>
      <w:iCs w:val="1"/>
      <w:color w:val="404040" w:themeColor="text1" w:themeTint="0000BF"/>
      <w:szCs w:val="24"/>
      <w:lang w:eastAsia="en-US" w:val="en-US"/>
    </w:rPr>
  </w:style>
  <w:style w:type="character" w:styleId="80" w:customStyle="1">
    <w:name w:val="Заголовок 8 Знак"/>
    <w:basedOn w:val="a0"/>
    <w:link w:val="8"/>
    <w:uiPriority w:val="9"/>
    <w:semiHidden w:val="1"/>
    <w:rsid w:val="00AA40A6"/>
    <w:rPr>
      <w:rFonts w:asciiTheme="majorHAnsi" w:cstheme="majorBidi" w:eastAsiaTheme="majorEastAsia" w:hAnsiTheme="majorHAnsi"/>
      <w:color w:val="404040" w:themeColor="text1" w:themeTint="0000BF"/>
      <w:lang w:eastAsia="en-US" w:val="en-US"/>
    </w:rPr>
  </w:style>
  <w:style w:type="character" w:styleId="90" w:customStyle="1">
    <w:name w:val="Заголовок 9 Знак"/>
    <w:basedOn w:val="a0"/>
    <w:link w:val="9"/>
    <w:uiPriority w:val="9"/>
    <w:semiHidden w:val="1"/>
    <w:rsid w:val="00AA40A6"/>
    <w:rPr>
      <w:rFonts w:asciiTheme="majorHAnsi" w:cstheme="majorBidi" w:eastAsiaTheme="majorEastAsia" w:hAnsiTheme="majorHAnsi"/>
      <w:i w:val="1"/>
      <w:iCs w:val="1"/>
      <w:color w:val="404040" w:themeColor="text1" w:themeTint="0000BF"/>
      <w:lang w:eastAsia="en-US" w:val="en-US"/>
    </w:rPr>
  </w:style>
  <w:style w:type="character" w:styleId="a5" w:customStyle="1">
    <w:name w:val="Нижній колонтитул Знак"/>
    <w:basedOn w:val="a0"/>
    <w:link w:val="a4"/>
    <w:uiPriority w:val="99"/>
    <w:rsid w:val="00EE4B18"/>
    <w:rPr>
      <w:rFonts w:ascii="Arial" w:hAnsi="Arial"/>
      <w:sz w:val="18"/>
      <w:szCs w:val="24"/>
      <w:lang w:val="en-US"/>
    </w:rPr>
  </w:style>
  <w:style w:type="table" w:styleId="a6">
    <w:name w:val="Table Grid"/>
    <w:basedOn w:val="a1"/>
    <w:uiPriority w:val="59"/>
    <w:rsid w:val="00EE4B1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7">
    <w:name w:val="Balloon Text"/>
    <w:basedOn w:val="a"/>
    <w:link w:val="a8"/>
    <w:uiPriority w:val="99"/>
    <w:semiHidden w:val="1"/>
    <w:unhideWhenUsed w:val="1"/>
    <w:rsid w:val="00B6507D"/>
    <w:rPr>
      <w:rFonts w:ascii="Segoe UI" w:cs="Segoe UI" w:hAnsi="Segoe UI"/>
      <w:sz w:val="18"/>
      <w:szCs w:val="18"/>
    </w:rPr>
  </w:style>
  <w:style w:type="character" w:styleId="a8" w:customStyle="1">
    <w:name w:val="Текст у виносці Знак"/>
    <w:basedOn w:val="a0"/>
    <w:link w:val="a7"/>
    <w:uiPriority w:val="99"/>
    <w:semiHidden w:val="1"/>
    <w:rsid w:val="00B6507D"/>
    <w:rPr>
      <w:rFonts w:ascii="Segoe UI" w:cs="Segoe UI" w:hAnsi="Segoe UI"/>
      <w:sz w:val="18"/>
      <w:szCs w:val="18"/>
      <w:lang w:val="en-US"/>
    </w:rPr>
  </w:style>
  <w:style w:type="character" w:styleId="a9">
    <w:name w:val="annotation reference"/>
    <w:basedOn w:val="a0"/>
    <w:uiPriority w:val="99"/>
    <w:semiHidden w:val="1"/>
    <w:unhideWhenUsed w:val="1"/>
    <w:rsid w:val="0022071D"/>
    <w:rPr>
      <w:sz w:val="16"/>
      <w:szCs w:val="16"/>
    </w:rPr>
  </w:style>
  <w:style w:type="paragraph" w:styleId="aa">
    <w:name w:val="annotation text"/>
    <w:basedOn w:val="a"/>
    <w:link w:val="ab"/>
    <w:uiPriority w:val="99"/>
    <w:semiHidden w:val="1"/>
    <w:unhideWhenUsed w:val="1"/>
    <w:rsid w:val="0022071D"/>
    <w:rPr>
      <w:szCs w:val="20"/>
    </w:rPr>
  </w:style>
  <w:style w:type="character" w:styleId="ab" w:customStyle="1">
    <w:name w:val="Текст примітки Знак"/>
    <w:basedOn w:val="a0"/>
    <w:link w:val="aa"/>
    <w:uiPriority w:val="99"/>
    <w:semiHidden w:val="1"/>
    <w:rsid w:val="0022071D"/>
    <w:rPr>
      <w:rFonts w:ascii="Arial" w:hAnsi="Arial"/>
      <w:lang w:val="en-US"/>
    </w:rPr>
  </w:style>
  <w:style w:type="paragraph" w:styleId="ac">
    <w:name w:val="annotation subject"/>
    <w:basedOn w:val="aa"/>
    <w:next w:val="aa"/>
    <w:link w:val="ad"/>
    <w:uiPriority w:val="99"/>
    <w:semiHidden w:val="1"/>
    <w:unhideWhenUsed w:val="1"/>
    <w:rsid w:val="0022071D"/>
    <w:rPr>
      <w:b w:val="1"/>
      <w:bCs w:val="1"/>
    </w:rPr>
  </w:style>
  <w:style w:type="character" w:styleId="ad" w:customStyle="1">
    <w:name w:val="Тема примітки Знак"/>
    <w:basedOn w:val="ab"/>
    <w:link w:val="ac"/>
    <w:uiPriority w:val="99"/>
    <w:semiHidden w:val="1"/>
    <w:rsid w:val="0022071D"/>
    <w:rPr>
      <w:rFonts w:ascii="Arial" w:hAnsi="Arial"/>
      <w:b w:val="1"/>
      <w:bCs w:val="1"/>
      <w:lang w:val="en-US"/>
    </w:rPr>
  </w:style>
  <w:style w:type="character" w:styleId="ae">
    <w:name w:val="Hyperlink"/>
    <w:basedOn w:val="a0"/>
    <w:uiPriority w:val="99"/>
    <w:semiHidden w:val="1"/>
    <w:unhideWhenUsed w:val="1"/>
    <w:rsid w:val="00232CB4"/>
    <w:rPr>
      <w:color w:val="0000ff"/>
      <w:u w:val="single"/>
    </w:rPr>
  </w:style>
  <w:style w:type="paragraph" w:styleId="af">
    <w:name w:val="List Paragraph"/>
    <w:basedOn w:val="a"/>
    <w:uiPriority w:val="34"/>
    <w:qFormat w:val="1"/>
    <w:rsid w:val="009277FF"/>
    <w:pPr>
      <w:ind w:left="720"/>
      <w:contextualSpacing w:val="1"/>
    </w:pPr>
  </w:style>
  <w:style w:type="paragraph" w:styleId="af0">
    <w:name w:val="Revision"/>
    <w:hidden w:val="1"/>
    <w:uiPriority w:val="99"/>
    <w:semiHidden w:val="1"/>
    <w:rsid w:val="007416F1"/>
    <w:rPr>
      <w:rFonts w:ascii="Arial" w:hAnsi="Arial"/>
      <w:szCs w:val="24"/>
      <w:lang w:val="en-US"/>
    </w:rPr>
  </w:style>
  <w:style w:type="paragraph" w:styleId="af1">
    <w:name w:val="footnote text"/>
    <w:basedOn w:val="a"/>
    <w:link w:val="af2"/>
    <w:uiPriority w:val="99"/>
    <w:semiHidden w:val="1"/>
    <w:unhideWhenUsed w:val="1"/>
    <w:rsid w:val="00B93DA1"/>
    <w:rPr>
      <w:szCs w:val="20"/>
    </w:rPr>
  </w:style>
  <w:style w:type="character" w:styleId="af2" w:customStyle="1">
    <w:name w:val="Текст виноски Знак"/>
    <w:basedOn w:val="a0"/>
    <w:link w:val="af1"/>
    <w:uiPriority w:val="99"/>
    <w:semiHidden w:val="1"/>
    <w:rsid w:val="00B93DA1"/>
    <w:rPr>
      <w:rFonts w:ascii="Arial" w:hAnsi="Arial"/>
      <w:lang w:val="en-US"/>
    </w:rPr>
  </w:style>
  <w:style w:type="character" w:styleId="af3">
    <w:name w:val="footnote reference"/>
    <w:basedOn w:val="a0"/>
    <w:uiPriority w:val="99"/>
    <w:semiHidden w:val="1"/>
    <w:unhideWhenUsed w:val="1"/>
    <w:rsid w:val="00B93DA1"/>
    <w:rPr>
      <w:vertAlign w:val="superscript"/>
    </w:rPr>
  </w:style>
  <w:style w:type="character" w:styleId="null1" w:customStyle="1">
    <w:name w:val="null1"/>
    <w:basedOn w:val="a0"/>
    <w:rsid w:val="006C51D6"/>
  </w:style>
  <w:style w:type="paragraph" w:styleId="western" w:customStyle="1">
    <w:name w:val="western"/>
    <w:basedOn w:val="a"/>
    <w:rsid w:val="00270853"/>
    <w:pPr>
      <w:spacing w:after="119" w:before="100" w:beforeAutospacing="1"/>
    </w:pPr>
    <w:rPr>
      <w:rFonts w:ascii="Times New Roman" w:eastAsia="Times New Roman" w:hAnsi="Times New Roman"/>
      <w:sz w:val="24"/>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wIrDNQ43Wm4BTA1b/SkSmzI4g==">AMUW2mU4w9Sm4jOs7y4fhOunE1D20OPyU+/xobStlTKBKMZP5PcRA4be+87p2BTIkbgr6O5qEKG5ATZGhcJwGsu3Lm9nukFJZxdNsSoekdMXEpsWWRYEs5k=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2022-07-01T18:36:00Z</dcterms:created>
  <dc:creator>Schoenenberger Christian EDA SHC</dc:creator>
</cp:coreProperties>
</file>